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废止的行政规范性文件目录</w:t>
      </w:r>
    </w:p>
    <w:tbl>
      <w:tblPr>
        <w:tblStyle w:val="3"/>
        <w:tblpPr w:leftFromText="180" w:rightFromText="180" w:vertAnchor="text" w:horzAnchor="page" w:tblpX="1563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645"/>
        <w:gridCol w:w="31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</w:rPr>
              <w:t>序号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</w:rPr>
              <w:t>文件名称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</w:rPr>
              <w:t>文号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  <w:lang w:eastAsia="zh-CN"/>
              </w:rPr>
              <w:t>处理</w:t>
            </w:r>
          </w:p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关于完善重点车辆及驾驶人源头隐患清理长效工作机制的通知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宿公交[2021]1号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关于印发《宿迁市重点车辆及驾驶人道路交通安全源头监管工作规范（试行）》的通知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宿公交[2021]9号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关于印发《全市重点车辆驾驶人风险隐患常态管控工作实施意见》的通知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宿公通[2020]38号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关于印发《注销涉毒驾驶人机动车驾驶许可工作流程（试行）》的通知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宿公交[2018]16号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关于印发《宿迁市机动车安全技术检验机构监督管理考核办法（试行）》的通知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宿公交[2018]6号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废止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拟修改的行政规范性文件目录</w:t>
      </w:r>
    </w:p>
    <w:tbl>
      <w:tblPr>
        <w:tblStyle w:val="3"/>
        <w:tblpPr w:leftFromText="180" w:rightFromText="180" w:vertAnchor="text" w:horzAnchor="page" w:tblpX="1563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645"/>
        <w:gridCol w:w="31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</w:rPr>
              <w:t>序号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</w:rPr>
              <w:t>文件名称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</w:rPr>
              <w:t>文号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  <w:lang w:eastAsia="zh-CN"/>
              </w:rPr>
              <w:t>处理</w:t>
            </w:r>
          </w:p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关于印发《宿迁市公安机关适用市域立法行政处罚裁量基准》的通知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宿公规[2023]1号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拟修改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保留（继续有效）的行政规范性文件目录</w:t>
      </w:r>
    </w:p>
    <w:tbl>
      <w:tblPr>
        <w:tblStyle w:val="3"/>
        <w:tblpPr w:leftFromText="180" w:rightFromText="180" w:vertAnchor="text" w:horzAnchor="page" w:tblpX="1563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645"/>
        <w:gridCol w:w="31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</w:rPr>
              <w:t>序号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</w:rPr>
              <w:t>文件名称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</w:rPr>
              <w:t>文号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  <w:lang w:eastAsia="zh-CN"/>
              </w:rPr>
              <w:t>处理</w:t>
            </w:r>
          </w:p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0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关于调整宿迁市区货运车辆禁行管理规定的通告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宿公局[2023]101号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关于印发《宿迁市公安局交通物流保通保畅工作十条意见》的通知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宿公局[2023]12号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关于印发《宿迁市户籍管理工作规范》的通知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宿公局[2010]186号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保留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629D"/>
    <w:rsid w:val="61FF629D"/>
    <w:rsid w:val="BEB7E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2025-07-25T22:57:00Z</dcterms:created>
  <dc:creator>kylin</dc:creator>
  <cp:lastModifiedBy>kylin</cp:lastModifiedBy>
  <dcterms:modified xsi:type="dcterms:W3CDTF">2025-07-25T14:59:07Z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